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560" w:lineRule="exact"/>
        <w:ind w:firstLine="0"/>
        <w:jc w:val="center"/>
        <w:outlineLvl w:val="9"/>
        <w:rPr>
          <w:rFonts w:hint="eastAsia" w:ascii="方正小标宋简体" w:hAnsi="方正小标宋简体" w:eastAsia="方正小标宋简体" w:cs="方正小标宋简体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</w:rPr>
        <w:t>兰山区基层安全生产监督管理办法</w:t>
      </w:r>
    </w:p>
    <w:p>
      <w:pPr>
        <w:pStyle w:val="2"/>
        <w:spacing w:before="0" w:line="560" w:lineRule="exact"/>
        <w:ind w:left="0" w:firstLine="2560" w:firstLineChars="800"/>
        <w:jc w:val="both"/>
        <w:rPr>
          <w:rFonts w:hint="eastAsia" w:ascii="楷体_GB2312" w:eastAsia="楷体_GB2312" w:cs="方正小标宋简体"/>
          <w:lang w:eastAsia="zh-CN"/>
        </w:rPr>
      </w:pPr>
      <w:r>
        <w:rPr>
          <w:rFonts w:hint="eastAsia" w:ascii="楷体_GB2312" w:eastAsia="楷体_GB2312" w:cs="方正小标宋简体"/>
          <w:lang w:eastAsia="zh-CN"/>
        </w:rPr>
        <w:t>（征求意见稿）</w:t>
      </w:r>
    </w:p>
    <w:p>
      <w:pPr>
        <w:pStyle w:val="2"/>
        <w:spacing w:before="0" w:line="560" w:lineRule="exact"/>
        <w:ind w:left="0" w:firstLine="640" w:firstLineChars="200"/>
        <w:rPr>
          <w:rFonts w:ascii="方正小标宋简体" w:eastAsia="方正小标宋简体" w:cs="方正小标宋简体"/>
        </w:rPr>
      </w:pPr>
    </w:p>
    <w:p>
      <w:pPr>
        <w:pStyle w:val="2"/>
        <w:tabs>
          <w:tab w:val="left" w:pos="1264"/>
          <w:tab w:val="left" w:pos="1895"/>
        </w:tabs>
        <w:spacing w:before="0" w:line="560" w:lineRule="exact"/>
        <w:ind w:left="0" w:firstLine="2880" w:firstLineChars="900"/>
        <w:jc w:val="both"/>
        <w:rPr>
          <w:rFonts w:ascii="黑体" w:eastAsia="黑体" w:cs="黑体"/>
        </w:rPr>
      </w:pPr>
      <w:r>
        <w:rPr>
          <w:rFonts w:hint="eastAsia" w:ascii="黑体" w:eastAsia="黑体" w:cs="黑体"/>
        </w:rPr>
        <w:t>第一章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总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则</w:t>
      </w:r>
    </w:p>
    <w:p>
      <w:pPr>
        <w:pStyle w:val="2"/>
        <w:spacing w:before="0" w:line="560" w:lineRule="exact"/>
        <w:ind w:left="0" w:firstLine="640" w:firstLineChars="200"/>
        <w:rPr>
          <w:rFonts w:ascii="黑体" w:eastAsia="黑体" w:cs="黑体"/>
        </w:rPr>
      </w:pP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第一条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为进一步落实安全生产属地管理责任，固本强基筑基础，坚持“宣传教育警示为主，日常监管执法为主，标准规范运行为主”，着力创建“学习型、服务型、创新型”监管机构，塑造“忠诚、实干、担当”应急管理队伍，按照《中共中央国务院关于推进安全生产领域改革发展的意见》精神，依据《中华人民共和国安全生产法》《山东省安全生产条例》等有关</w:t>
      </w:r>
      <w:r>
        <w:rPr>
          <w:rFonts w:hint="eastAsia"/>
          <w:lang w:eastAsia="zh-CN"/>
        </w:rPr>
        <w:t>法律法规</w:t>
      </w:r>
      <w:r>
        <w:rPr>
          <w:rFonts w:hint="eastAsia"/>
        </w:rPr>
        <w:t>，结合我区实际制定本办法。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第二条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严格落实“党政同责、一岗双责、齐抓共管、失职追责”“党政主要负责人是本辖区安全生产第一责任人”的规定。</w:t>
      </w:r>
    </w:p>
    <w:p>
      <w:pPr>
        <w:pStyle w:val="2"/>
        <w:spacing w:before="0" w:line="560" w:lineRule="exact"/>
        <w:ind w:left="0" w:firstLine="640" w:firstLineChars="200"/>
        <w:jc w:val="both"/>
        <w:rPr>
          <w:color w:val="auto"/>
        </w:rPr>
      </w:pPr>
      <w:r>
        <w:rPr>
          <w:rFonts w:hint="eastAsia" w:ascii="黑体" w:eastAsia="黑体" w:cs="黑体"/>
        </w:rPr>
        <w:t>第三条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按</w:t>
      </w:r>
      <w:r>
        <w:rPr>
          <w:rFonts w:hint="eastAsia"/>
          <w:color w:val="auto"/>
        </w:rPr>
        <w:t>照“管行业必须管安全、管业务必须管安全、管生产经营必须管安全”和“</w:t>
      </w:r>
      <w:r>
        <w:rPr>
          <w:rFonts w:hint="eastAsia"/>
          <w:color w:val="auto"/>
          <w:lang w:eastAsia="zh-CN"/>
        </w:rPr>
        <w:t>谁主管谁负责、谁审批谁负责、谁监管谁负责</w:t>
      </w:r>
      <w:r>
        <w:rPr>
          <w:rFonts w:hint="eastAsia"/>
          <w:color w:val="auto"/>
        </w:rPr>
        <w:t>”的原则，承担行业监管职责，确保监管领域安全生产形势稳定。</w:t>
      </w:r>
    </w:p>
    <w:p>
      <w:pPr>
        <w:pStyle w:val="2"/>
        <w:spacing w:before="0" w:line="560" w:lineRule="exact"/>
        <w:ind w:left="0" w:firstLine="640" w:firstLineChars="200"/>
      </w:pPr>
    </w:p>
    <w:p>
      <w:pPr>
        <w:pStyle w:val="2"/>
        <w:tabs>
          <w:tab w:val="left" w:pos="1264"/>
        </w:tabs>
        <w:spacing w:before="0" w:line="560" w:lineRule="exact"/>
        <w:ind w:left="0" w:firstLine="640" w:firstLineChars="200"/>
        <w:jc w:val="center"/>
        <w:rPr>
          <w:rFonts w:ascii="黑体" w:eastAsia="黑体" w:cs="黑体"/>
        </w:rPr>
      </w:pPr>
      <w:r>
        <w:rPr>
          <w:rFonts w:hint="eastAsia" w:ascii="黑体" w:eastAsia="黑体" w:cs="黑体"/>
        </w:rPr>
        <w:t>第二章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监管职责</w:t>
      </w:r>
    </w:p>
    <w:p>
      <w:pPr>
        <w:pStyle w:val="2"/>
        <w:spacing w:before="0" w:line="560" w:lineRule="exact"/>
        <w:ind w:left="0" w:firstLine="640" w:firstLineChars="200"/>
        <w:rPr>
          <w:rFonts w:ascii="黑体" w:eastAsia="黑体" w:cs="黑体"/>
        </w:rPr>
      </w:pPr>
    </w:p>
    <w:p>
      <w:pPr>
        <w:pStyle w:val="2"/>
        <w:tabs>
          <w:tab w:val="left" w:pos="2006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第四条</w:t>
      </w:r>
      <w:r>
        <w:rPr>
          <w:rFonts w:ascii="黑体" w:eastAsia="黑体" w:cs="黑体"/>
        </w:rPr>
        <w:t xml:space="preserve">  </w:t>
      </w:r>
      <w:r>
        <w:rPr>
          <w:rFonts w:hint="eastAsia"/>
          <w:color w:val="auto"/>
          <w:lang w:eastAsia="zh-CN"/>
        </w:rPr>
        <w:t>安全生产工作实行一岗双责制，</w:t>
      </w:r>
      <w:r>
        <w:rPr>
          <w:rFonts w:hint="eastAsia"/>
          <w:color w:val="auto"/>
        </w:rPr>
        <w:t>镇（</w:t>
      </w:r>
      <w:r>
        <w:rPr>
          <w:rFonts w:hint="eastAsia"/>
        </w:rPr>
        <w:t>街道、经开区）党（工）委书记、镇长（主任）为辖区内安全生产第一责任人，其他副职为各分管领域的直接责任人，站所（科室）负责人为监管领域的具体责任人；工作区书记、主任为所辖区域的直接责任人，工作区工作人员为具体责任人；村居（社区）书记、主任为本区域的直接责任人，村（居）两委成员为具体责任人。</w:t>
      </w:r>
    </w:p>
    <w:p>
      <w:pPr>
        <w:pStyle w:val="2"/>
        <w:spacing w:before="0" w:line="560" w:lineRule="exact"/>
        <w:ind w:left="0" w:firstLine="640" w:firstLineChars="200"/>
        <w:jc w:val="both"/>
        <w:rPr>
          <w:rFonts w:hint="eastAsia" w:eastAsia="仿宋_GB2312"/>
          <w:lang w:eastAsia="zh-CN"/>
        </w:rPr>
      </w:pPr>
      <w:r>
        <w:rPr>
          <w:rFonts w:hint="eastAsia"/>
        </w:rPr>
        <w:t>党委政府每月至少召开一次安全生产</w:t>
      </w:r>
      <w:r>
        <w:rPr>
          <w:rFonts w:hint="eastAsia"/>
          <w:color w:val="auto"/>
        </w:rPr>
        <w:t>会议，应急安全保障服务中心主任列席。研究部署安全生产工作，将执</w:t>
      </w:r>
      <w:r>
        <w:rPr>
          <w:rFonts w:hint="eastAsia"/>
        </w:rPr>
        <w:t>法经费纳入同级财政预算，确保安全生产投入。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第五条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各镇（街道、经开区）实现“六有”：有班子、有机制、有预案、有队伍、有物资、有培训演练。</w:t>
      </w:r>
      <w:r>
        <w:rPr>
          <w:rFonts w:hint="eastAsia"/>
          <w:color w:val="auto"/>
        </w:rPr>
        <w:t>设立</w:t>
      </w:r>
      <w:r>
        <w:rPr>
          <w:rFonts w:hint="eastAsia"/>
          <w:color w:val="auto"/>
          <w:lang w:eastAsia="zh-CN"/>
        </w:rPr>
        <w:t>应急安全保障服务中心</w:t>
      </w:r>
      <w:r>
        <w:rPr>
          <w:rFonts w:hint="eastAsia"/>
          <w:color w:val="auto"/>
        </w:rPr>
        <w:t>，确定</w:t>
      </w:r>
      <w:r>
        <w:rPr>
          <w:rFonts w:ascii="Times New Roman" w:cs="Times New Roman"/>
          <w:color w:val="auto"/>
        </w:rPr>
        <w:t>1</w:t>
      </w:r>
      <w:r>
        <w:rPr>
          <w:rFonts w:hint="eastAsia"/>
          <w:color w:val="auto"/>
        </w:rPr>
        <w:t>名党政领导班子成员分管安全生产工作，实行区、镇（街道、经开区）两级双重管理</w:t>
      </w:r>
      <w:r>
        <w:rPr>
          <w:rFonts w:hint="eastAsia"/>
        </w:rPr>
        <w:t>。配备安全生产监管执法必需办公用品，统一配备安全生产调查取证设备、专用检查仪器以及劳动防护用品。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第六条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村社区实现“三有”：有场地设施、有装备物资、有工作制度。落实安全生产管理“网格化”，村社区设立应急安全办公室，主要负责人兼任主任。社区配备</w:t>
      </w:r>
      <w:r>
        <w:rPr>
          <w:rFonts w:ascii="Times New Roman" w:cs="Times New Roman"/>
        </w:rPr>
        <w:t>2</w:t>
      </w:r>
      <w:r>
        <w:rPr>
          <w:rFonts w:hint="eastAsia" w:ascii="Times New Roman" w:cs="Times New Roman"/>
          <w:lang w:eastAsia="zh-CN"/>
        </w:rPr>
        <w:t>—</w:t>
      </w:r>
      <w:r>
        <w:rPr>
          <w:rFonts w:ascii="Times New Roman" w:cs="Times New Roman"/>
        </w:rPr>
        <w:t>3</w:t>
      </w:r>
      <w:r>
        <w:rPr>
          <w:rFonts w:hint="eastAsia" w:ascii="Times New Roman" w:cs="Times New Roman"/>
          <w:lang w:eastAsia="zh-CN"/>
        </w:rPr>
        <w:t>名专</w:t>
      </w:r>
      <w:r>
        <w:rPr>
          <w:rFonts w:hint="eastAsia"/>
        </w:rPr>
        <w:t>兼职安全生产管理员，村配备</w:t>
      </w:r>
      <w:r>
        <w:rPr>
          <w:rFonts w:ascii="Times New Roman" w:cs="Times New Roman"/>
        </w:rPr>
        <w:t>1</w:t>
      </w:r>
      <w:r>
        <w:rPr>
          <w:rFonts w:hint="eastAsia"/>
        </w:rPr>
        <w:t>名专职安全生产管理员，有条件的村配备兼职安全生产协管员。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/>
        </w:rPr>
        <w:t>村社区对辖区内生产经营单位开展安全生产日常巡查、隐患排查、违法行为上报等工作，发现问题及时处置，无法处置的第一时间上报属地党委政府。</w:t>
      </w:r>
    </w:p>
    <w:p>
      <w:pPr>
        <w:pStyle w:val="2"/>
        <w:tabs>
          <w:tab w:val="left" w:pos="2006"/>
        </w:tabs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第七条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强化安全生产专业技术人才的吸纳与培养，鼓励镇（街道、经开区）、村（社区）采取政府购买服务的方式，聘请专家开展事故隐患排查治理。鼓励聘请注册安全工程师等专业技术人员到高危企业、规上企业开展安全技术指导和服务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第八条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实行“定岗、定员、定责”，保持应急管理队伍稳定，严格执法人员持证上岗制度。人员变动时，须经区编办和区应急管理局同意，及时配齐符合条件的相关人员。</w:t>
      </w:r>
    </w:p>
    <w:p>
      <w:pPr>
        <w:pStyle w:val="2"/>
        <w:tabs>
          <w:tab w:val="left" w:pos="2006"/>
        </w:tabs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第九条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加大安全监管人员教育培训力度。制定专门培训计划，采用轮训、调训、专项培训、以会代训等形式，加强一线监管人员安全培训，镇街道每年至少组织</w:t>
      </w:r>
      <w:r>
        <w:rPr>
          <w:rFonts w:ascii="Times New Roman" w:cs="Times New Roman"/>
        </w:rPr>
        <w:t>2</w:t>
      </w:r>
      <w:r>
        <w:rPr>
          <w:rFonts w:hint="eastAsia"/>
        </w:rPr>
        <w:t>次集中安全培训。</w:t>
      </w:r>
    </w:p>
    <w:p>
      <w:pPr>
        <w:pStyle w:val="2"/>
        <w:spacing w:before="0" w:line="560" w:lineRule="exact"/>
        <w:ind w:left="0" w:firstLine="640" w:firstLineChars="200"/>
      </w:pPr>
    </w:p>
    <w:p>
      <w:pPr>
        <w:pStyle w:val="2"/>
        <w:tabs>
          <w:tab w:val="left" w:pos="1264"/>
        </w:tabs>
        <w:spacing w:before="0" w:line="560" w:lineRule="exact"/>
        <w:ind w:left="0" w:firstLine="640" w:firstLineChars="200"/>
        <w:jc w:val="center"/>
        <w:rPr>
          <w:rFonts w:ascii="黑体" w:eastAsia="黑体" w:cs="黑体"/>
        </w:rPr>
      </w:pPr>
      <w:r>
        <w:rPr>
          <w:rFonts w:hint="eastAsia" w:ascii="黑体" w:eastAsia="黑体" w:cs="黑体"/>
        </w:rPr>
        <w:t>第三章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应急管理执法</w:t>
      </w:r>
    </w:p>
    <w:p>
      <w:pPr>
        <w:pStyle w:val="2"/>
        <w:spacing w:before="0" w:line="560" w:lineRule="exact"/>
        <w:ind w:left="0" w:firstLine="640" w:firstLineChars="200"/>
        <w:rPr>
          <w:rFonts w:ascii="黑体" w:eastAsia="黑体" w:cs="黑体"/>
        </w:rPr>
      </w:pP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第十条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按</w:t>
      </w:r>
      <w:r>
        <w:rPr>
          <w:rFonts w:hint="eastAsia"/>
          <w:color w:val="auto"/>
        </w:rPr>
        <w:t>照</w:t>
      </w:r>
      <w:r>
        <w:rPr>
          <w:rFonts w:hint="eastAsia"/>
          <w:color w:val="auto"/>
          <w:lang w:eastAsia="zh-CN"/>
        </w:rPr>
        <w:t>分类分级监管原则，</w:t>
      </w:r>
      <w:r>
        <w:rPr>
          <w:rFonts w:hint="eastAsia"/>
          <w:color w:val="auto"/>
        </w:rPr>
        <w:t>落实属</w:t>
      </w:r>
      <w:r>
        <w:rPr>
          <w:rFonts w:hint="eastAsia"/>
        </w:rPr>
        <w:t>地管理责任，强化安全生产综合监管职责。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第十一条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督</w:t>
      </w:r>
      <w:r>
        <w:rPr>
          <w:rFonts w:hint="eastAsia"/>
          <w:color w:val="auto"/>
        </w:rPr>
        <w:t>促生产经营单位开展</w:t>
      </w:r>
      <w:r>
        <w:rPr>
          <w:rFonts w:hint="eastAsia"/>
          <w:color w:val="auto"/>
          <w:lang w:eastAsia="zh-CN"/>
        </w:rPr>
        <w:t>安全生产标准化创建工作</w:t>
      </w:r>
      <w:r>
        <w:rPr>
          <w:rFonts w:hint="eastAsia"/>
          <w:color w:val="auto"/>
        </w:rPr>
        <w:t>；</w:t>
      </w:r>
      <w:r>
        <w:rPr>
          <w:rFonts w:hint="eastAsia"/>
          <w:color w:val="auto"/>
          <w:lang w:eastAsia="zh-CN"/>
        </w:rPr>
        <w:t>构建安全风险分级管控和隐患排查治理双重预防机制</w:t>
      </w:r>
      <w:r>
        <w:rPr>
          <w:rFonts w:hint="eastAsia"/>
          <w:color w:val="auto"/>
        </w:rPr>
        <w:t>，突出重大事故隐患的排查、整改</w:t>
      </w:r>
      <w:r>
        <w:rPr>
          <w:rFonts w:hint="eastAsia"/>
        </w:rPr>
        <w:t>与上报。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第十二条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参与安全生产举报案件的查处与上报；参加安全生产行政许可现场审查核实工作；做好生产安全事故的善后处理工作，参与生产安全事故调查工作。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第十三条</w:t>
      </w:r>
      <w:r>
        <w:rPr>
          <w:rFonts w:ascii="黑体" w:eastAsia="黑体" w:cs="黑体"/>
        </w:rPr>
        <w:t xml:space="preserve">  </w:t>
      </w:r>
      <w:r>
        <w:rPr>
          <w:rFonts w:hint="eastAsia"/>
          <w:lang w:eastAsia="zh-CN"/>
        </w:rPr>
        <w:t>依据《安全生产违法行为行政处罚办法》第十二条规定，</w:t>
      </w:r>
      <w:r>
        <w:rPr>
          <w:rFonts w:hint="eastAsia"/>
          <w:color w:val="auto"/>
          <w:lang w:eastAsia="zh-CN"/>
        </w:rPr>
        <w:t>各镇街道</w:t>
      </w:r>
      <w:r>
        <w:rPr>
          <w:rFonts w:hint="eastAsia"/>
          <w:color w:val="auto"/>
        </w:rPr>
        <w:t>受区应急</w:t>
      </w:r>
      <w:r>
        <w:rPr>
          <w:rFonts w:hint="eastAsia"/>
        </w:rPr>
        <w:t>管理局委托，行使以下职权：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（一）应急管理执</w:t>
      </w:r>
      <w:r>
        <w:rPr>
          <w:rFonts w:hint="eastAsia"/>
          <w:color w:val="auto"/>
        </w:rPr>
        <w:t>法权。</w:t>
      </w:r>
      <w:r>
        <w:rPr>
          <w:rFonts w:hint="eastAsia"/>
          <w:color w:val="auto"/>
          <w:lang w:eastAsia="zh-CN"/>
        </w:rPr>
        <w:t>按照分类分级监管原则，</w:t>
      </w:r>
      <w:r>
        <w:rPr>
          <w:rFonts w:hint="eastAsia"/>
          <w:color w:val="auto"/>
        </w:rPr>
        <w:t>根</w:t>
      </w:r>
      <w:r>
        <w:rPr>
          <w:rFonts w:hint="eastAsia"/>
        </w:rPr>
        <w:t>据管辖权限负责辖区内危化品、烟花爆竹和工贸企业的安全生产执法。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/>
        </w:rPr>
        <w:t>（二）现场处置权。监督检查中，发现生产经营单位存在安全生产非法、违法行为或者事故隐患的，有权采取下列现场处理措施：当场予以纠正；责令限期改正、责令限期达到要求；责令立即排除事故隐患；责令从危险区域撤出作业人员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/>
        </w:rPr>
        <w:t>（三）调查取证权。对生产经营单位安全生产非法、违法行为进行调查、收集和固定证据。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/>
        </w:rPr>
        <w:t>（四）行政</w:t>
      </w:r>
      <w:r>
        <w:rPr>
          <w:rFonts w:hint="eastAsia"/>
          <w:color w:val="auto"/>
        </w:rPr>
        <w:t>处罚权。</w:t>
      </w:r>
      <w:r>
        <w:rPr>
          <w:rFonts w:hint="eastAsia" w:ascii="仿宋_GB2312" w:hAnsi="ˎ̥" w:eastAsia="仿宋_GB2312" w:cs="ˎ̥"/>
          <w:color w:val="auto"/>
          <w:kern w:val="0"/>
          <w:sz w:val="32"/>
          <w:szCs w:val="32"/>
        </w:rPr>
        <w:t>对适用警告或对个人</w:t>
      </w:r>
      <w:r>
        <w:rPr>
          <w:rFonts w:hint="eastAsia" w:ascii="仿宋_GB2312" w:hAnsi="ˎ̥" w:eastAsia="仿宋_GB2312" w:cs="ˎ̥"/>
          <w:color w:val="auto"/>
          <w:kern w:val="0"/>
          <w:sz w:val="32"/>
          <w:szCs w:val="32"/>
          <w:lang w:eastAsia="zh-CN"/>
        </w:rPr>
        <w:t>及</w:t>
      </w:r>
      <w:r>
        <w:rPr>
          <w:rFonts w:hint="eastAsia" w:ascii="仿宋_GB2312" w:hAnsi="ˎ̥" w:eastAsia="仿宋_GB2312" w:cs="ˎ̥"/>
          <w:color w:val="auto"/>
          <w:kern w:val="0"/>
          <w:sz w:val="32"/>
          <w:szCs w:val="32"/>
        </w:rPr>
        <w:t>生产经营单位罚款在5万元以下（含5万元）的案件实施行政处罚</w:t>
      </w:r>
      <w:r>
        <w:rPr>
          <w:rFonts w:hint="eastAsia"/>
          <w:color w:val="auto"/>
        </w:rPr>
        <w:t>。</w:t>
      </w:r>
    </w:p>
    <w:p>
      <w:pPr>
        <w:pStyle w:val="2"/>
        <w:spacing w:before="0" w:line="560" w:lineRule="exact"/>
        <w:ind w:left="0" w:firstLine="640" w:firstLineChars="200"/>
        <w:jc w:val="both"/>
        <w:rPr>
          <w:color w:val="auto"/>
        </w:rPr>
      </w:pPr>
      <w:r>
        <w:rPr>
          <w:rFonts w:hint="eastAsia" w:ascii="黑体" w:eastAsia="黑体" w:cs="黑体"/>
        </w:rPr>
        <w:t>第十四条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安全生产监管人员不</w:t>
      </w:r>
      <w:r>
        <w:rPr>
          <w:rFonts w:hint="eastAsia"/>
          <w:color w:val="auto"/>
        </w:rPr>
        <w:t>定期开展安全检查、督查，强化企业主体责任，督促整改事故隐患。应急管理</w:t>
      </w:r>
      <w:r>
        <w:rPr>
          <w:rFonts w:hint="eastAsia"/>
          <w:color w:val="auto"/>
          <w:lang w:eastAsia="zh-CN"/>
        </w:rPr>
        <w:t>严格落实行政执法公示、行政执法全过程记录、重大执法决定法制审核“三项制度”</w:t>
      </w:r>
      <w:r>
        <w:rPr>
          <w:rFonts w:hint="eastAsia"/>
          <w:color w:val="auto"/>
        </w:rPr>
        <w:t>。</w:t>
      </w:r>
    </w:p>
    <w:p>
      <w:pPr>
        <w:pStyle w:val="2"/>
        <w:tabs>
          <w:tab w:val="left" w:pos="2323"/>
        </w:tabs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第十五条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镇街</w:t>
      </w:r>
      <w:r>
        <w:rPr>
          <w:rFonts w:hint="eastAsia"/>
          <w:color w:val="auto"/>
        </w:rPr>
        <w:t>道应制定</w:t>
      </w:r>
      <w:r>
        <w:rPr>
          <w:rFonts w:hint="eastAsia"/>
          <w:color w:val="auto"/>
          <w:lang w:eastAsia="zh-CN"/>
        </w:rPr>
        <w:t>年度应急管理</w:t>
      </w:r>
      <w:r>
        <w:rPr>
          <w:rFonts w:hint="eastAsia"/>
          <w:color w:val="auto"/>
        </w:rPr>
        <w:t>执法</w:t>
      </w:r>
      <w:r>
        <w:rPr>
          <w:rFonts w:hint="eastAsia"/>
        </w:rPr>
        <w:t>检查计划，减少执法频次，提高执法水平。每次检查前，应根据企业实际制定相应的检查方案</w:t>
      </w:r>
      <w:r>
        <w:rPr>
          <w:rFonts w:hint="eastAsia"/>
          <w:lang w:eastAsia="zh-CN"/>
        </w:rPr>
        <w:t>。</w:t>
      </w:r>
    </w:p>
    <w:p>
      <w:pPr>
        <w:pStyle w:val="2"/>
        <w:tabs>
          <w:tab w:val="left" w:pos="2323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第十六条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强化执法联动，加强属地部门之间的资源共享、信息互通，发现安全生产非法</w:t>
      </w:r>
      <w:r>
        <w:rPr>
          <w:rFonts w:hint="eastAsia"/>
          <w:lang w:eastAsia="zh-CN"/>
        </w:rPr>
        <w:t>违法</w:t>
      </w:r>
      <w:r>
        <w:rPr>
          <w:rFonts w:hint="eastAsia"/>
        </w:rPr>
        <w:t>行为及时向有关部门移交或报告。知情不报的，按照有关规定追究属地相关部门、责任人员的责任；发生事故的，依法严肃问责。加强部门、镇街道（经开区）联合执法，实施联合惩戒，强化警示教育效果。</w:t>
      </w:r>
    </w:p>
    <w:p>
      <w:pPr>
        <w:pStyle w:val="2"/>
        <w:spacing w:before="0" w:line="560" w:lineRule="exact"/>
        <w:ind w:left="0" w:firstLine="640" w:firstLineChars="200"/>
      </w:pPr>
    </w:p>
    <w:p>
      <w:pPr>
        <w:pStyle w:val="2"/>
        <w:tabs>
          <w:tab w:val="left" w:pos="1264"/>
        </w:tabs>
        <w:spacing w:before="0" w:line="560" w:lineRule="exact"/>
        <w:ind w:left="0" w:firstLine="640" w:firstLineChars="200"/>
        <w:jc w:val="center"/>
        <w:rPr>
          <w:rFonts w:ascii="黑体" w:eastAsia="黑体" w:cs="黑体"/>
        </w:rPr>
      </w:pPr>
      <w:r>
        <w:rPr>
          <w:rFonts w:hint="eastAsia" w:ascii="黑体" w:eastAsia="黑体" w:cs="黑体"/>
        </w:rPr>
        <w:t>第四章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网格化实名制监管</w:t>
      </w:r>
    </w:p>
    <w:p>
      <w:pPr>
        <w:pStyle w:val="2"/>
        <w:spacing w:before="0" w:line="560" w:lineRule="exact"/>
        <w:ind w:left="0" w:firstLine="640" w:firstLineChars="200"/>
        <w:rPr>
          <w:rFonts w:ascii="黑体" w:eastAsia="黑体" w:cs="黑体"/>
        </w:rPr>
      </w:pP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第十七条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落实网格化实名制监管责任，实行“分级分类、划干分净、责任到人”的实名制监管方式，按照“网中有格，格中有人，人人有事，人人有责”的原则，建立安全生产网格化实名制管理体系。建立“横到边”的镇（街道、经开区）、工作区、社区村（居）三级安全生产网格，镇（街道、经开区）为一级网格，工作区为二级网格，社区村（居）为三级网格。按照一级网格重点监管规模以上企业、高危企业，二级网格重点监管规模以下企业，三级网格重点监管消防、建筑施工、商贸物流、农业农村等行业领域“九小场所”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建立“纵到底”的行业监管、业务主管、综合监管三类网格。按照“管行业</w:t>
      </w:r>
      <w:r>
        <w:rPr>
          <w:rFonts w:hint="eastAsia"/>
          <w:lang w:eastAsia="zh-CN"/>
        </w:rPr>
        <w:t>必须</w:t>
      </w:r>
      <w:r>
        <w:rPr>
          <w:rFonts w:hint="eastAsia"/>
        </w:rPr>
        <w:t>管安全、管业务</w:t>
      </w:r>
      <w:r>
        <w:rPr>
          <w:rFonts w:hint="eastAsia"/>
          <w:lang w:eastAsia="zh-CN"/>
        </w:rPr>
        <w:t>必须</w:t>
      </w:r>
      <w:r>
        <w:rPr>
          <w:rFonts w:hint="eastAsia"/>
        </w:rPr>
        <w:t>管安全、管生产经营</w:t>
      </w:r>
      <w:r>
        <w:rPr>
          <w:rFonts w:hint="eastAsia"/>
          <w:lang w:eastAsia="zh-CN"/>
        </w:rPr>
        <w:t>必须</w:t>
      </w:r>
      <w:r>
        <w:rPr>
          <w:rFonts w:hint="eastAsia"/>
        </w:rPr>
        <w:t>管安全”和“谁主管、谁负责”的原则落实监管责任，镇（街道、经开区）要明确安全生产主要负责人、分管负责人、站所（科室）负责人和工作人员职责。</w:t>
      </w:r>
    </w:p>
    <w:p>
      <w:pPr>
        <w:pStyle w:val="2"/>
        <w:tabs>
          <w:tab w:val="left" w:pos="2323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第十八条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实名制责任领导职责：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（一）加强对实名制岗位责任范围内安全生产工作的领导，及时协调解决安全生产工作中存在的重大问题。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（二）监督检查实名制责任人落实安全生产岗位实名制管理职责；加强对实名制责任人安全生产业务培训和指导。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（三）每月至少召开</w:t>
      </w:r>
      <w:r>
        <w:rPr>
          <w:rFonts w:ascii="Times New Roman" w:cs="Times New Roman"/>
        </w:rPr>
        <w:t>1</w:t>
      </w:r>
      <w:r>
        <w:rPr>
          <w:rFonts w:hint="eastAsia"/>
        </w:rPr>
        <w:t>次会议，安排部署实名制岗位责任范围内的安全生产工作。</w:t>
      </w:r>
    </w:p>
    <w:p>
      <w:pPr>
        <w:pStyle w:val="2"/>
        <w:tabs>
          <w:tab w:val="left" w:pos="2323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第十九条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实名制责任人职责：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一）监督检查实名制企业安全生产主体责任落实情况。要直插一线岗位，重点检查安全生产规章制度落实、安全生产警示提醒、风险分级管控与隐患排查治理公示及防控等情况；一线员工安全教育培训与遵章守纪、安全操作规程掌握及劳动防护情况、现场处置与紧急避险能力，特种作业人员持证上岗情况等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（二）对实名制企业进行安全生产检查，对发现的隐患，督促企业严格落实事故隐患治理措施，确保整改到位；及时将企业存在的重大隐患和安全生产非法违法行为上报。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（三）督</w:t>
      </w:r>
      <w:r>
        <w:rPr>
          <w:rFonts w:hint="eastAsia"/>
          <w:color w:val="auto"/>
        </w:rPr>
        <w:t>促、指导实名制企业做好</w:t>
      </w:r>
      <w:r>
        <w:rPr>
          <w:rFonts w:hint="eastAsia"/>
          <w:color w:val="auto"/>
          <w:lang w:eastAsia="zh-CN"/>
        </w:rPr>
        <w:t>安全风险分级管控和隐患排查治理双重预防机制</w:t>
      </w:r>
      <w:r>
        <w:rPr>
          <w:rFonts w:hint="eastAsia"/>
          <w:color w:val="auto"/>
        </w:rPr>
        <w:t>建设工作。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（四）建立实名制企业重大危险源和事故隐患排查治理监控档案，并实施动态监控。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（五）实名制企业发生生产安全事故时，应及时赶赴现场，参与应急救援和善后处理，协助做好事故调查处理工作。</w:t>
      </w:r>
    </w:p>
    <w:p>
      <w:pPr>
        <w:pStyle w:val="2"/>
        <w:spacing w:before="0" w:line="560" w:lineRule="exact"/>
        <w:ind w:left="0" w:firstLine="640" w:firstLineChars="200"/>
      </w:pPr>
      <w:r>
        <w:rPr>
          <w:rFonts w:hint="eastAsia"/>
        </w:rPr>
        <w:t>（六）其他应当履行的安全生产监管职责。</w:t>
      </w:r>
    </w:p>
    <w:p>
      <w:pPr>
        <w:pStyle w:val="2"/>
        <w:tabs>
          <w:tab w:val="left" w:pos="2400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第二十条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强化网格化实名制监管责任考核。采取精准识别、精准建档立卡、精准施策等措施，推进实名制监管责任落实。通过日常考核、专项督查，委托第三方利用平台电话访问、问卷调查及综合评估等方式，实行精准考核，确保安全监管到点、到事、到人。</w:t>
      </w:r>
    </w:p>
    <w:p>
      <w:pPr>
        <w:pStyle w:val="2"/>
        <w:spacing w:before="0" w:line="560" w:lineRule="exact"/>
        <w:ind w:left="0" w:firstLine="640" w:firstLineChars="200"/>
      </w:pPr>
    </w:p>
    <w:p>
      <w:pPr>
        <w:pStyle w:val="2"/>
        <w:tabs>
          <w:tab w:val="left" w:pos="1264"/>
        </w:tabs>
        <w:spacing w:before="0" w:line="560" w:lineRule="exact"/>
        <w:ind w:left="0" w:firstLine="640" w:firstLineChars="200"/>
        <w:jc w:val="center"/>
        <w:rPr>
          <w:rFonts w:ascii="黑体" w:eastAsia="黑体" w:cs="黑体"/>
        </w:rPr>
      </w:pPr>
      <w:r>
        <w:rPr>
          <w:rFonts w:hint="eastAsia" w:ascii="黑体" w:eastAsia="黑体" w:cs="黑体"/>
        </w:rPr>
        <w:t>第五章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考核奖惩</w:t>
      </w:r>
    </w:p>
    <w:p>
      <w:pPr>
        <w:pStyle w:val="2"/>
        <w:spacing w:before="0" w:line="560" w:lineRule="exact"/>
        <w:ind w:left="0" w:firstLine="640" w:firstLineChars="200"/>
        <w:rPr>
          <w:rFonts w:ascii="黑体" w:eastAsia="黑体" w:cs="黑体"/>
        </w:rPr>
      </w:pPr>
    </w:p>
    <w:p>
      <w:pPr>
        <w:pStyle w:val="2"/>
        <w:spacing w:before="0" w:line="560" w:lineRule="exact"/>
        <w:ind w:left="0" w:firstLine="640" w:firstLineChars="200"/>
        <w:jc w:val="both"/>
        <w:rPr>
          <w:rFonts w:hint="eastAsia"/>
          <w:color w:val="auto"/>
        </w:rPr>
      </w:pPr>
      <w:r>
        <w:rPr>
          <w:rFonts w:hint="eastAsia" w:ascii="黑体" w:eastAsia="黑体" w:cs="黑体"/>
        </w:rPr>
        <w:t>第二十一条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树立争先</w:t>
      </w:r>
      <w:r>
        <w:rPr>
          <w:rFonts w:hint="eastAsia"/>
          <w:color w:val="auto"/>
        </w:rPr>
        <w:t>进位意识，对</w:t>
      </w:r>
      <w:r>
        <w:rPr>
          <w:rFonts w:hint="eastAsia"/>
          <w:color w:val="auto"/>
          <w:lang w:eastAsia="zh-CN"/>
        </w:rPr>
        <w:t>年度安全生产工作表现突出的</w:t>
      </w:r>
      <w:r>
        <w:rPr>
          <w:rFonts w:hint="eastAsia"/>
          <w:color w:val="auto"/>
        </w:rPr>
        <w:t>镇（街道、经开区）及工作优秀的个人予以通报表扬。连续2年受区以上表扬的镇（街道、经开区），</w:t>
      </w:r>
      <w:r>
        <w:rPr>
          <w:rFonts w:hint="eastAsia"/>
          <w:color w:val="auto"/>
          <w:lang w:eastAsia="zh-CN"/>
        </w:rPr>
        <w:t>应急安全保障服务中心主任</w:t>
      </w:r>
      <w:r>
        <w:rPr>
          <w:rFonts w:hint="eastAsia"/>
          <w:color w:val="auto"/>
        </w:rPr>
        <w:t>年度考核直接评定为优秀等次。</w:t>
      </w:r>
    </w:p>
    <w:p>
      <w:pPr>
        <w:pStyle w:val="2"/>
        <w:tabs>
          <w:tab w:val="left" w:pos="2726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第二十二条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创新安全监管先进经验、做法，被市级以上推广交流的，予以通报表扬或奖励。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第二十三条</w:t>
      </w:r>
      <w:r>
        <w:rPr>
          <w:rFonts w:ascii="黑体" w:eastAsia="黑体" w:cs="黑体"/>
        </w:rPr>
        <w:t xml:space="preserve">  </w:t>
      </w:r>
      <w:r>
        <w:rPr>
          <w:rFonts w:hint="eastAsia"/>
          <w:color w:val="auto"/>
        </w:rPr>
        <w:t>畅通</w:t>
      </w:r>
      <w:r>
        <w:rPr>
          <w:rFonts w:hint="eastAsia"/>
          <w:color w:val="auto"/>
          <w:lang w:eastAsia="zh-CN"/>
        </w:rPr>
        <w:t>应急管理人员</w:t>
      </w:r>
      <w:r>
        <w:rPr>
          <w:rFonts w:hint="eastAsia"/>
          <w:color w:val="auto"/>
        </w:rPr>
        <w:t>进出渠道，保证队伍的生机活力。工作成绩突出的在干部选拔任用时优先予以提拔、重用。工作中敷衍塞责、不敢担当</w:t>
      </w:r>
      <w:r>
        <w:rPr>
          <w:rFonts w:hint="eastAsia"/>
          <w:color w:val="auto"/>
          <w:lang w:eastAsia="zh-CN"/>
        </w:rPr>
        <w:t>地</w:t>
      </w:r>
      <w:r>
        <w:rPr>
          <w:rFonts w:hint="eastAsia"/>
          <w:color w:val="auto"/>
        </w:rPr>
        <w:t>调离</w:t>
      </w:r>
      <w:r>
        <w:rPr>
          <w:rFonts w:hint="eastAsia"/>
          <w:color w:val="auto"/>
          <w:lang w:eastAsia="zh-CN"/>
        </w:rPr>
        <w:t>应急管理</w:t>
      </w:r>
      <w:r>
        <w:rPr>
          <w:rFonts w:hint="eastAsia"/>
          <w:color w:val="auto"/>
        </w:rPr>
        <w:t>队伍。情节严重或致使发生生产安全责任事故的，依照有关规</w:t>
      </w:r>
      <w:r>
        <w:rPr>
          <w:rFonts w:hint="eastAsia"/>
        </w:rPr>
        <w:t>定，予以追责问责。</w:t>
      </w:r>
    </w:p>
    <w:p>
      <w:pPr>
        <w:pStyle w:val="2"/>
        <w:spacing w:before="0" w:line="560" w:lineRule="exact"/>
        <w:ind w:left="0" w:firstLine="640" w:firstLineChars="200"/>
        <w:jc w:val="both"/>
        <w:rPr>
          <w:color w:val="auto"/>
        </w:rPr>
      </w:pPr>
      <w:r>
        <w:rPr>
          <w:rFonts w:hint="eastAsia" w:ascii="黑体" w:eastAsia="黑体" w:cs="黑体"/>
        </w:rPr>
        <w:t>第二十四条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区</w:t>
      </w:r>
      <w:r>
        <w:rPr>
          <w:rFonts w:hint="eastAsia"/>
          <w:color w:val="auto"/>
        </w:rPr>
        <w:t>安委会加强安全生产督导考核，将安全生产工作列入基层</w:t>
      </w:r>
      <w:r>
        <w:rPr>
          <w:rFonts w:hint="eastAsia"/>
          <w:color w:val="auto"/>
          <w:lang w:eastAsia="zh-CN"/>
        </w:rPr>
        <w:t>高质量发展考核内容。</w:t>
      </w:r>
      <w:r>
        <w:rPr>
          <w:rFonts w:hint="eastAsia"/>
          <w:color w:val="auto"/>
        </w:rPr>
        <w:t>对生产安全责任事故实行“一票否决”制度，对重大安全事项实行</w:t>
      </w:r>
      <w:r>
        <w:rPr>
          <w:rFonts w:hint="eastAsia"/>
          <w:color w:val="auto"/>
          <w:lang w:eastAsia="zh-CN"/>
        </w:rPr>
        <w:t>负面清单管理</w:t>
      </w:r>
      <w:r>
        <w:rPr>
          <w:rFonts w:hint="eastAsia"/>
          <w:color w:val="auto"/>
        </w:rPr>
        <w:t>。</w:t>
      </w:r>
    </w:p>
    <w:p>
      <w:pPr>
        <w:pStyle w:val="2"/>
        <w:spacing w:before="0" w:line="560" w:lineRule="exact"/>
        <w:ind w:left="0" w:firstLine="640" w:firstLineChars="200"/>
        <w:jc w:val="both"/>
      </w:pPr>
      <w:r>
        <w:rPr>
          <w:rFonts w:hint="eastAsia" w:ascii="黑体" w:eastAsia="黑体" w:cs="黑体"/>
        </w:rPr>
        <w:t>第二十五条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实行后督查制度，通过抽查企业主体责任、实名制监管责任、部门监管责任等落实情况，督查属地管理责任落实与工作开展情况。对工作开展不力、责任落实不到位的，实行“一次通报、二次约谈、三次启动问责”，对存在违规违纪行为的严肃追究相关责任人责任。</w:t>
      </w:r>
    </w:p>
    <w:p>
      <w:pPr>
        <w:pStyle w:val="2"/>
        <w:spacing w:before="0" w:line="560" w:lineRule="exact"/>
        <w:ind w:left="0" w:firstLine="640" w:firstLineChars="200"/>
      </w:pPr>
    </w:p>
    <w:p>
      <w:pPr>
        <w:pStyle w:val="2"/>
        <w:tabs>
          <w:tab w:val="left" w:pos="1269"/>
          <w:tab w:val="left" w:pos="1900"/>
        </w:tabs>
        <w:spacing w:before="0" w:line="560" w:lineRule="exact"/>
        <w:ind w:left="0" w:firstLine="640" w:firstLineChars="200"/>
        <w:jc w:val="center"/>
        <w:rPr>
          <w:rFonts w:ascii="黑体" w:eastAsia="黑体" w:cs="黑体"/>
        </w:rPr>
      </w:pPr>
      <w:r>
        <w:rPr>
          <w:rFonts w:hint="eastAsia" w:ascii="黑体" w:eastAsia="黑体" w:cs="黑体"/>
        </w:rPr>
        <w:t>第六章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附</w:t>
      </w:r>
      <w:r>
        <w:rPr>
          <w:rFonts w:ascii="黑体" w:eastAsia="黑体" w:cs="黑体"/>
        </w:rPr>
        <w:t xml:space="preserve">  </w:t>
      </w:r>
      <w:r>
        <w:rPr>
          <w:rFonts w:hint="eastAsia" w:ascii="黑体" w:eastAsia="黑体" w:cs="黑体"/>
        </w:rPr>
        <w:t>则</w:t>
      </w:r>
    </w:p>
    <w:p>
      <w:pPr>
        <w:pStyle w:val="2"/>
        <w:spacing w:before="0" w:line="560" w:lineRule="exact"/>
        <w:ind w:left="0" w:firstLine="640" w:firstLineChars="200"/>
        <w:rPr>
          <w:rFonts w:ascii="黑体" w:eastAsia="黑体" w:cs="黑体"/>
        </w:rPr>
      </w:pPr>
    </w:p>
    <w:p>
      <w:pPr>
        <w:pStyle w:val="2"/>
        <w:tabs>
          <w:tab w:val="left" w:pos="2637"/>
        </w:tabs>
        <w:spacing w:before="0" w:line="560" w:lineRule="exact"/>
        <w:ind w:left="0" w:firstLine="640" w:firstLineChars="200"/>
      </w:pPr>
      <w:r>
        <w:rPr>
          <w:rFonts w:hint="eastAsia" w:ascii="黑体" w:eastAsia="黑体" w:cs="黑体"/>
        </w:rPr>
        <w:t>第二十六条</w:t>
      </w:r>
      <w:r>
        <w:rPr>
          <w:rFonts w:ascii="黑体" w:eastAsia="黑体" w:cs="黑体"/>
        </w:rPr>
        <w:t xml:space="preserve">  </w:t>
      </w:r>
      <w:r>
        <w:rPr>
          <w:rFonts w:hint="eastAsia"/>
        </w:rPr>
        <w:t>本办法自</w:t>
      </w:r>
      <w:r>
        <w:rPr>
          <w:rFonts w:ascii="Times New Roman" w:cs="Times New Roman"/>
        </w:rPr>
        <w:t>20</w:t>
      </w:r>
      <w:r>
        <w:rPr>
          <w:rFonts w:hint="eastAsia" w:ascii="Times New Roman" w:cs="Times New Roman"/>
          <w:lang w:val="en-US" w:eastAsia="zh-CN"/>
        </w:rPr>
        <w:t>24</w:t>
      </w:r>
      <w:r>
        <w:rPr>
          <w:rFonts w:hint="eastAsia"/>
        </w:rPr>
        <w:t>年月日起施行，有效期至</w:t>
      </w:r>
      <w:r>
        <w:rPr>
          <w:rFonts w:ascii="Times New Roman" w:eastAsia="宋体" w:cs="Times New Roman"/>
        </w:rPr>
        <w:t>2029</w:t>
      </w:r>
      <w:r>
        <w:rPr>
          <w:rFonts w:hint="eastAsia"/>
        </w:rPr>
        <w:t>年月日。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80"/>
      <w:jc w:val="center"/>
      <w:rPr>
        <w:rFonts w:hint="eastAsia"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 PAGE   \* MERGEFORMAT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t>- 1 -</w:t>
    </w:r>
    <w:r>
      <w:rPr>
        <w:rFonts w:hint="eastAsia" w:ascii="仿宋_GB2312" w:eastAsia="仿宋_GB2312"/>
        <w:sz w:val="28"/>
        <w:szCs w:val="28"/>
      </w:rPr>
      <w:fldChar w:fldCharType="end"/>
    </w:r>
  </w:p>
  <w:p>
    <w:pPr>
      <w:pStyle w:val="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5NzRmZDlmZjg3OGM1YjA3NDEzMTNmOTljN2E1M2IifQ=="/>
  </w:docVars>
  <w:rsids>
    <w:rsidRoot w:val="00464C73"/>
    <w:rsid w:val="00002D28"/>
    <w:rsid w:val="00004636"/>
    <w:rsid w:val="00004C2B"/>
    <w:rsid w:val="00006E6C"/>
    <w:rsid w:val="00017B26"/>
    <w:rsid w:val="0002252C"/>
    <w:rsid w:val="00027DEE"/>
    <w:rsid w:val="00037104"/>
    <w:rsid w:val="00041C4A"/>
    <w:rsid w:val="00046491"/>
    <w:rsid w:val="0006097F"/>
    <w:rsid w:val="00077AFA"/>
    <w:rsid w:val="00086A8E"/>
    <w:rsid w:val="00090181"/>
    <w:rsid w:val="0009238B"/>
    <w:rsid w:val="00092F97"/>
    <w:rsid w:val="000A2B8E"/>
    <w:rsid w:val="000A54DA"/>
    <w:rsid w:val="000B48A5"/>
    <w:rsid w:val="000C3C10"/>
    <w:rsid w:val="000C71F9"/>
    <w:rsid w:val="000D04F4"/>
    <w:rsid w:val="000D5AE2"/>
    <w:rsid w:val="000E6CA0"/>
    <w:rsid w:val="000F2CE1"/>
    <w:rsid w:val="00111482"/>
    <w:rsid w:val="001225AC"/>
    <w:rsid w:val="001278D2"/>
    <w:rsid w:val="00130F37"/>
    <w:rsid w:val="00134AD1"/>
    <w:rsid w:val="00136A66"/>
    <w:rsid w:val="00145E3E"/>
    <w:rsid w:val="001465C4"/>
    <w:rsid w:val="0015101D"/>
    <w:rsid w:val="001521C5"/>
    <w:rsid w:val="00155D2A"/>
    <w:rsid w:val="001633E7"/>
    <w:rsid w:val="00173B23"/>
    <w:rsid w:val="00182632"/>
    <w:rsid w:val="00182B7B"/>
    <w:rsid w:val="00190EDC"/>
    <w:rsid w:val="00191934"/>
    <w:rsid w:val="001B76DF"/>
    <w:rsid w:val="001C3E13"/>
    <w:rsid w:val="001C406D"/>
    <w:rsid w:val="001D0EC8"/>
    <w:rsid w:val="001D3EC8"/>
    <w:rsid w:val="001E4BC1"/>
    <w:rsid w:val="001E59A5"/>
    <w:rsid w:val="001F20D6"/>
    <w:rsid w:val="0020150D"/>
    <w:rsid w:val="00206A8D"/>
    <w:rsid w:val="002115C9"/>
    <w:rsid w:val="00225716"/>
    <w:rsid w:val="00226BD4"/>
    <w:rsid w:val="00235EE0"/>
    <w:rsid w:val="00237AC3"/>
    <w:rsid w:val="002421B6"/>
    <w:rsid w:val="0024681C"/>
    <w:rsid w:val="00250E70"/>
    <w:rsid w:val="00253B18"/>
    <w:rsid w:val="0025686D"/>
    <w:rsid w:val="002638A5"/>
    <w:rsid w:val="00264849"/>
    <w:rsid w:val="00284532"/>
    <w:rsid w:val="00284E05"/>
    <w:rsid w:val="0028626C"/>
    <w:rsid w:val="00286C61"/>
    <w:rsid w:val="002A2DDB"/>
    <w:rsid w:val="002A5FA5"/>
    <w:rsid w:val="002C1647"/>
    <w:rsid w:val="002C56EB"/>
    <w:rsid w:val="002D0F4B"/>
    <w:rsid w:val="002F0071"/>
    <w:rsid w:val="00303654"/>
    <w:rsid w:val="00310473"/>
    <w:rsid w:val="00310D9D"/>
    <w:rsid w:val="00311BAD"/>
    <w:rsid w:val="00316221"/>
    <w:rsid w:val="00320821"/>
    <w:rsid w:val="00340080"/>
    <w:rsid w:val="00341615"/>
    <w:rsid w:val="003429A6"/>
    <w:rsid w:val="00344943"/>
    <w:rsid w:val="00355681"/>
    <w:rsid w:val="00357A91"/>
    <w:rsid w:val="00357D6D"/>
    <w:rsid w:val="003629CF"/>
    <w:rsid w:val="00366C6F"/>
    <w:rsid w:val="003801DC"/>
    <w:rsid w:val="00385B87"/>
    <w:rsid w:val="003A5D4E"/>
    <w:rsid w:val="003A78B4"/>
    <w:rsid w:val="003B6D1F"/>
    <w:rsid w:val="003B6D2C"/>
    <w:rsid w:val="003C0F38"/>
    <w:rsid w:val="003C18FE"/>
    <w:rsid w:val="003C6B42"/>
    <w:rsid w:val="003C6FC9"/>
    <w:rsid w:val="003E3D4F"/>
    <w:rsid w:val="003E74FF"/>
    <w:rsid w:val="003F475E"/>
    <w:rsid w:val="00400075"/>
    <w:rsid w:val="0040733A"/>
    <w:rsid w:val="004169A7"/>
    <w:rsid w:val="0041765D"/>
    <w:rsid w:val="004208C4"/>
    <w:rsid w:val="00420E1D"/>
    <w:rsid w:val="0042303D"/>
    <w:rsid w:val="00431A3D"/>
    <w:rsid w:val="00455D37"/>
    <w:rsid w:val="00461068"/>
    <w:rsid w:val="00461BDC"/>
    <w:rsid w:val="00464C73"/>
    <w:rsid w:val="00476B4F"/>
    <w:rsid w:val="00481715"/>
    <w:rsid w:val="00487405"/>
    <w:rsid w:val="004954C1"/>
    <w:rsid w:val="004A251B"/>
    <w:rsid w:val="004A6E2D"/>
    <w:rsid w:val="004A788F"/>
    <w:rsid w:val="004C194D"/>
    <w:rsid w:val="004C5814"/>
    <w:rsid w:val="004C65A9"/>
    <w:rsid w:val="004C6799"/>
    <w:rsid w:val="004D0C87"/>
    <w:rsid w:val="004D6E83"/>
    <w:rsid w:val="004D7EAB"/>
    <w:rsid w:val="004E1657"/>
    <w:rsid w:val="004E6A7B"/>
    <w:rsid w:val="004F1F39"/>
    <w:rsid w:val="00501E9C"/>
    <w:rsid w:val="005024A7"/>
    <w:rsid w:val="00510D7F"/>
    <w:rsid w:val="00512026"/>
    <w:rsid w:val="005134AC"/>
    <w:rsid w:val="0052015B"/>
    <w:rsid w:val="00520E8D"/>
    <w:rsid w:val="005315BE"/>
    <w:rsid w:val="00532890"/>
    <w:rsid w:val="00533C0D"/>
    <w:rsid w:val="00533C83"/>
    <w:rsid w:val="00542440"/>
    <w:rsid w:val="00543546"/>
    <w:rsid w:val="0054706E"/>
    <w:rsid w:val="00561C49"/>
    <w:rsid w:val="00567129"/>
    <w:rsid w:val="00574858"/>
    <w:rsid w:val="00580CCB"/>
    <w:rsid w:val="00581C97"/>
    <w:rsid w:val="005970B9"/>
    <w:rsid w:val="00597D99"/>
    <w:rsid w:val="005A2C1C"/>
    <w:rsid w:val="005B0369"/>
    <w:rsid w:val="005B1A27"/>
    <w:rsid w:val="005B3526"/>
    <w:rsid w:val="005B403A"/>
    <w:rsid w:val="005C56EB"/>
    <w:rsid w:val="005E3860"/>
    <w:rsid w:val="005F1C86"/>
    <w:rsid w:val="005F5CF2"/>
    <w:rsid w:val="005F75A8"/>
    <w:rsid w:val="00611260"/>
    <w:rsid w:val="00612E05"/>
    <w:rsid w:val="0062484F"/>
    <w:rsid w:val="00632D2B"/>
    <w:rsid w:val="00634988"/>
    <w:rsid w:val="00635203"/>
    <w:rsid w:val="00635A01"/>
    <w:rsid w:val="006409BA"/>
    <w:rsid w:val="00640B96"/>
    <w:rsid w:val="00641C69"/>
    <w:rsid w:val="00651D5F"/>
    <w:rsid w:val="006555D1"/>
    <w:rsid w:val="00662BC8"/>
    <w:rsid w:val="00665800"/>
    <w:rsid w:val="00665A5B"/>
    <w:rsid w:val="00674729"/>
    <w:rsid w:val="006838C5"/>
    <w:rsid w:val="00691AB7"/>
    <w:rsid w:val="0069726D"/>
    <w:rsid w:val="006A2DC1"/>
    <w:rsid w:val="006A5035"/>
    <w:rsid w:val="006B1127"/>
    <w:rsid w:val="006B26DB"/>
    <w:rsid w:val="006B55C5"/>
    <w:rsid w:val="006C33EA"/>
    <w:rsid w:val="006C7232"/>
    <w:rsid w:val="006E2E2B"/>
    <w:rsid w:val="007127A6"/>
    <w:rsid w:val="00724325"/>
    <w:rsid w:val="007451F9"/>
    <w:rsid w:val="00756F63"/>
    <w:rsid w:val="00770E47"/>
    <w:rsid w:val="0077160C"/>
    <w:rsid w:val="0077373D"/>
    <w:rsid w:val="00774D73"/>
    <w:rsid w:val="0078390A"/>
    <w:rsid w:val="0078483E"/>
    <w:rsid w:val="00784C31"/>
    <w:rsid w:val="0079610B"/>
    <w:rsid w:val="007A4FD2"/>
    <w:rsid w:val="007A63A3"/>
    <w:rsid w:val="007A68DB"/>
    <w:rsid w:val="007B6AF1"/>
    <w:rsid w:val="007C23E7"/>
    <w:rsid w:val="007C3CCD"/>
    <w:rsid w:val="007C3CF3"/>
    <w:rsid w:val="007D0A8A"/>
    <w:rsid w:val="007D158E"/>
    <w:rsid w:val="007D3E84"/>
    <w:rsid w:val="007E0374"/>
    <w:rsid w:val="007F7818"/>
    <w:rsid w:val="0080321B"/>
    <w:rsid w:val="00803990"/>
    <w:rsid w:val="00805689"/>
    <w:rsid w:val="00811619"/>
    <w:rsid w:val="00814220"/>
    <w:rsid w:val="00823287"/>
    <w:rsid w:val="00831024"/>
    <w:rsid w:val="00837B68"/>
    <w:rsid w:val="00843662"/>
    <w:rsid w:val="00844530"/>
    <w:rsid w:val="00847DFF"/>
    <w:rsid w:val="00856917"/>
    <w:rsid w:val="00865040"/>
    <w:rsid w:val="00895EBC"/>
    <w:rsid w:val="008A5642"/>
    <w:rsid w:val="008A652E"/>
    <w:rsid w:val="008B216E"/>
    <w:rsid w:val="008C7051"/>
    <w:rsid w:val="008D1738"/>
    <w:rsid w:val="008D67A1"/>
    <w:rsid w:val="008E4009"/>
    <w:rsid w:val="008F6C86"/>
    <w:rsid w:val="00900223"/>
    <w:rsid w:val="0090357F"/>
    <w:rsid w:val="00904BC6"/>
    <w:rsid w:val="00912464"/>
    <w:rsid w:val="0091324E"/>
    <w:rsid w:val="0091646E"/>
    <w:rsid w:val="00926F4D"/>
    <w:rsid w:val="009347BA"/>
    <w:rsid w:val="0093555D"/>
    <w:rsid w:val="00941516"/>
    <w:rsid w:val="0094190C"/>
    <w:rsid w:val="009440D0"/>
    <w:rsid w:val="00951213"/>
    <w:rsid w:val="009541C2"/>
    <w:rsid w:val="00976A1C"/>
    <w:rsid w:val="009838A6"/>
    <w:rsid w:val="00987B84"/>
    <w:rsid w:val="00993ED6"/>
    <w:rsid w:val="009A3720"/>
    <w:rsid w:val="009A3841"/>
    <w:rsid w:val="009A3AB1"/>
    <w:rsid w:val="009B76E7"/>
    <w:rsid w:val="009C3A8D"/>
    <w:rsid w:val="009D087E"/>
    <w:rsid w:val="009F2CF4"/>
    <w:rsid w:val="00A0399B"/>
    <w:rsid w:val="00A065C8"/>
    <w:rsid w:val="00A10DA6"/>
    <w:rsid w:val="00A245A8"/>
    <w:rsid w:val="00A26011"/>
    <w:rsid w:val="00A424FE"/>
    <w:rsid w:val="00A529FC"/>
    <w:rsid w:val="00A56F50"/>
    <w:rsid w:val="00A631ED"/>
    <w:rsid w:val="00A63495"/>
    <w:rsid w:val="00A6499D"/>
    <w:rsid w:val="00A67A25"/>
    <w:rsid w:val="00A70BA2"/>
    <w:rsid w:val="00A71076"/>
    <w:rsid w:val="00A727F1"/>
    <w:rsid w:val="00A73285"/>
    <w:rsid w:val="00A768F2"/>
    <w:rsid w:val="00A7703E"/>
    <w:rsid w:val="00A973B3"/>
    <w:rsid w:val="00AA1C33"/>
    <w:rsid w:val="00AA22B8"/>
    <w:rsid w:val="00AA49DB"/>
    <w:rsid w:val="00AA50BF"/>
    <w:rsid w:val="00AB047C"/>
    <w:rsid w:val="00AB68E1"/>
    <w:rsid w:val="00AB756B"/>
    <w:rsid w:val="00AC43F3"/>
    <w:rsid w:val="00AC4BB4"/>
    <w:rsid w:val="00AD4299"/>
    <w:rsid w:val="00AE11B7"/>
    <w:rsid w:val="00AE398E"/>
    <w:rsid w:val="00AE47D1"/>
    <w:rsid w:val="00AE4E9E"/>
    <w:rsid w:val="00AE555F"/>
    <w:rsid w:val="00AF3668"/>
    <w:rsid w:val="00AF539A"/>
    <w:rsid w:val="00B2045F"/>
    <w:rsid w:val="00B20F6C"/>
    <w:rsid w:val="00B23E2F"/>
    <w:rsid w:val="00B34C16"/>
    <w:rsid w:val="00B47740"/>
    <w:rsid w:val="00B57957"/>
    <w:rsid w:val="00B57BA7"/>
    <w:rsid w:val="00B72E10"/>
    <w:rsid w:val="00B811DC"/>
    <w:rsid w:val="00B8136B"/>
    <w:rsid w:val="00B83D13"/>
    <w:rsid w:val="00B9121B"/>
    <w:rsid w:val="00BA6B9C"/>
    <w:rsid w:val="00BC67D6"/>
    <w:rsid w:val="00BC6849"/>
    <w:rsid w:val="00BD3759"/>
    <w:rsid w:val="00BF2A41"/>
    <w:rsid w:val="00BF34C1"/>
    <w:rsid w:val="00BF7167"/>
    <w:rsid w:val="00BF7A4A"/>
    <w:rsid w:val="00C01350"/>
    <w:rsid w:val="00C04FCB"/>
    <w:rsid w:val="00C27DC0"/>
    <w:rsid w:val="00C3545A"/>
    <w:rsid w:val="00C53FD9"/>
    <w:rsid w:val="00C66679"/>
    <w:rsid w:val="00C74618"/>
    <w:rsid w:val="00C81021"/>
    <w:rsid w:val="00C8233F"/>
    <w:rsid w:val="00C8436D"/>
    <w:rsid w:val="00C90237"/>
    <w:rsid w:val="00C91F29"/>
    <w:rsid w:val="00C91F88"/>
    <w:rsid w:val="00C958B1"/>
    <w:rsid w:val="00C96F1A"/>
    <w:rsid w:val="00CB5C0A"/>
    <w:rsid w:val="00CC406E"/>
    <w:rsid w:val="00CC5E08"/>
    <w:rsid w:val="00CC7857"/>
    <w:rsid w:val="00CC7CAD"/>
    <w:rsid w:val="00CE7ADD"/>
    <w:rsid w:val="00CF13F3"/>
    <w:rsid w:val="00D00097"/>
    <w:rsid w:val="00D05BF4"/>
    <w:rsid w:val="00D077C1"/>
    <w:rsid w:val="00D17D15"/>
    <w:rsid w:val="00D25DBB"/>
    <w:rsid w:val="00D3429C"/>
    <w:rsid w:val="00D57746"/>
    <w:rsid w:val="00D60E55"/>
    <w:rsid w:val="00D63D10"/>
    <w:rsid w:val="00D64B98"/>
    <w:rsid w:val="00D822FF"/>
    <w:rsid w:val="00D8788F"/>
    <w:rsid w:val="00D901E8"/>
    <w:rsid w:val="00D90E9F"/>
    <w:rsid w:val="00D969DF"/>
    <w:rsid w:val="00DA0A9E"/>
    <w:rsid w:val="00DA4552"/>
    <w:rsid w:val="00DA5EE7"/>
    <w:rsid w:val="00DB082B"/>
    <w:rsid w:val="00DB1DE9"/>
    <w:rsid w:val="00DD335B"/>
    <w:rsid w:val="00DE116F"/>
    <w:rsid w:val="00DE4C72"/>
    <w:rsid w:val="00DE5E09"/>
    <w:rsid w:val="00DF28D7"/>
    <w:rsid w:val="00E00107"/>
    <w:rsid w:val="00E00A54"/>
    <w:rsid w:val="00E03ADD"/>
    <w:rsid w:val="00E05661"/>
    <w:rsid w:val="00E07C52"/>
    <w:rsid w:val="00E125DA"/>
    <w:rsid w:val="00E16C96"/>
    <w:rsid w:val="00E51365"/>
    <w:rsid w:val="00E62275"/>
    <w:rsid w:val="00E73299"/>
    <w:rsid w:val="00E736DA"/>
    <w:rsid w:val="00E86DA0"/>
    <w:rsid w:val="00E9077F"/>
    <w:rsid w:val="00EA14D6"/>
    <w:rsid w:val="00EB7BD8"/>
    <w:rsid w:val="00EC21EA"/>
    <w:rsid w:val="00ED304D"/>
    <w:rsid w:val="00ED40EF"/>
    <w:rsid w:val="00EF5CBD"/>
    <w:rsid w:val="00EF7E64"/>
    <w:rsid w:val="00F06482"/>
    <w:rsid w:val="00F17EA3"/>
    <w:rsid w:val="00F22A63"/>
    <w:rsid w:val="00F47D13"/>
    <w:rsid w:val="00F527E1"/>
    <w:rsid w:val="00F6394B"/>
    <w:rsid w:val="00F65296"/>
    <w:rsid w:val="00F670C8"/>
    <w:rsid w:val="00F82331"/>
    <w:rsid w:val="00F86847"/>
    <w:rsid w:val="00F91B0C"/>
    <w:rsid w:val="00FA2061"/>
    <w:rsid w:val="00FA27EE"/>
    <w:rsid w:val="00FA7315"/>
    <w:rsid w:val="00FB1461"/>
    <w:rsid w:val="00FC14E7"/>
    <w:rsid w:val="00FC2926"/>
    <w:rsid w:val="00FC340E"/>
    <w:rsid w:val="00FE0E73"/>
    <w:rsid w:val="01300309"/>
    <w:rsid w:val="018502B5"/>
    <w:rsid w:val="0213141D"/>
    <w:rsid w:val="048E56D2"/>
    <w:rsid w:val="05432019"/>
    <w:rsid w:val="057F2A95"/>
    <w:rsid w:val="06047CD2"/>
    <w:rsid w:val="07BB67DE"/>
    <w:rsid w:val="07C06A6C"/>
    <w:rsid w:val="08AF79C5"/>
    <w:rsid w:val="0B723658"/>
    <w:rsid w:val="0BFA364D"/>
    <w:rsid w:val="0C0A1AE2"/>
    <w:rsid w:val="0C6D2071"/>
    <w:rsid w:val="0DF625B5"/>
    <w:rsid w:val="0FAF4DE3"/>
    <w:rsid w:val="1122342A"/>
    <w:rsid w:val="116A4DD1"/>
    <w:rsid w:val="13DA7FEC"/>
    <w:rsid w:val="14171240"/>
    <w:rsid w:val="151439D2"/>
    <w:rsid w:val="1540013C"/>
    <w:rsid w:val="15475B55"/>
    <w:rsid w:val="164B51D1"/>
    <w:rsid w:val="165A5414"/>
    <w:rsid w:val="165F26F2"/>
    <w:rsid w:val="16704C38"/>
    <w:rsid w:val="17680005"/>
    <w:rsid w:val="17C5460C"/>
    <w:rsid w:val="17D3547E"/>
    <w:rsid w:val="185C46A5"/>
    <w:rsid w:val="1C5A43C0"/>
    <w:rsid w:val="1CB05D8E"/>
    <w:rsid w:val="20623843"/>
    <w:rsid w:val="20F052F3"/>
    <w:rsid w:val="222723E7"/>
    <w:rsid w:val="22352F00"/>
    <w:rsid w:val="228A7081"/>
    <w:rsid w:val="22F62969"/>
    <w:rsid w:val="23200343"/>
    <w:rsid w:val="23425BAE"/>
    <w:rsid w:val="23843AD1"/>
    <w:rsid w:val="23860F70"/>
    <w:rsid w:val="23923715"/>
    <w:rsid w:val="247578BD"/>
    <w:rsid w:val="26657D14"/>
    <w:rsid w:val="278A18D2"/>
    <w:rsid w:val="281F64BE"/>
    <w:rsid w:val="29712D49"/>
    <w:rsid w:val="2E292BF7"/>
    <w:rsid w:val="30992B52"/>
    <w:rsid w:val="315E0057"/>
    <w:rsid w:val="32A45F3D"/>
    <w:rsid w:val="349D5386"/>
    <w:rsid w:val="34D02004"/>
    <w:rsid w:val="3600523D"/>
    <w:rsid w:val="362D1DA6"/>
    <w:rsid w:val="367125DA"/>
    <w:rsid w:val="37904CE2"/>
    <w:rsid w:val="385775AE"/>
    <w:rsid w:val="38795FFC"/>
    <w:rsid w:val="39551D3F"/>
    <w:rsid w:val="39673821"/>
    <w:rsid w:val="3BE41159"/>
    <w:rsid w:val="3F7171A7"/>
    <w:rsid w:val="3FF83425"/>
    <w:rsid w:val="40E439A9"/>
    <w:rsid w:val="41410DFB"/>
    <w:rsid w:val="41654AEA"/>
    <w:rsid w:val="41A65571"/>
    <w:rsid w:val="43010842"/>
    <w:rsid w:val="430F2F5F"/>
    <w:rsid w:val="43770B04"/>
    <w:rsid w:val="439D4639"/>
    <w:rsid w:val="445F7F16"/>
    <w:rsid w:val="447500EF"/>
    <w:rsid w:val="451F4540"/>
    <w:rsid w:val="4554734F"/>
    <w:rsid w:val="456B4699"/>
    <w:rsid w:val="45850165"/>
    <w:rsid w:val="4682613E"/>
    <w:rsid w:val="469813BB"/>
    <w:rsid w:val="46D00833"/>
    <w:rsid w:val="47AA594C"/>
    <w:rsid w:val="47BD53BF"/>
    <w:rsid w:val="480A0199"/>
    <w:rsid w:val="4AE7656F"/>
    <w:rsid w:val="4BB16E5A"/>
    <w:rsid w:val="4C2A2AE7"/>
    <w:rsid w:val="4C2D26A8"/>
    <w:rsid w:val="4CFD207A"/>
    <w:rsid w:val="4D664D3B"/>
    <w:rsid w:val="4DA370C6"/>
    <w:rsid w:val="4E12654B"/>
    <w:rsid w:val="4EB86BA1"/>
    <w:rsid w:val="4F037CE6"/>
    <w:rsid w:val="504D50C7"/>
    <w:rsid w:val="505E5526"/>
    <w:rsid w:val="5133145B"/>
    <w:rsid w:val="51B82A14"/>
    <w:rsid w:val="53034162"/>
    <w:rsid w:val="55436A98"/>
    <w:rsid w:val="55942D51"/>
    <w:rsid w:val="55B31E70"/>
    <w:rsid w:val="567333AD"/>
    <w:rsid w:val="569A4669"/>
    <w:rsid w:val="5794182D"/>
    <w:rsid w:val="58535244"/>
    <w:rsid w:val="588A59D6"/>
    <w:rsid w:val="59C56616"/>
    <w:rsid w:val="5B8F0C89"/>
    <w:rsid w:val="5CFA4828"/>
    <w:rsid w:val="5DCD3CEB"/>
    <w:rsid w:val="5FA72797"/>
    <w:rsid w:val="611F03B9"/>
    <w:rsid w:val="61906178"/>
    <w:rsid w:val="6299419B"/>
    <w:rsid w:val="65E47E23"/>
    <w:rsid w:val="67670D0C"/>
    <w:rsid w:val="6817628E"/>
    <w:rsid w:val="682E35D8"/>
    <w:rsid w:val="68863414"/>
    <w:rsid w:val="68B25FB7"/>
    <w:rsid w:val="68E87C2B"/>
    <w:rsid w:val="69CA7330"/>
    <w:rsid w:val="6A1142BF"/>
    <w:rsid w:val="6A6D4F83"/>
    <w:rsid w:val="6ABE50E7"/>
    <w:rsid w:val="6B6651E9"/>
    <w:rsid w:val="6CCF2537"/>
    <w:rsid w:val="6E761835"/>
    <w:rsid w:val="6FA3261F"/>
    <w:rsid w:val="6FE61D8A"/>
    <w:rsid w:val="720D425E"/>
    <w:rsid w:val="73161787"/>
    <w:rsid w:val="748C7BA9"/>
    <w:rsid w:val="75295853"/>
    <w:rsid w:val="77422BFC"/>
    <w:rsid w:val="7C016BE2"/>
    <w:rsid w:val="7C237B72"/>
    <w:rsid w:val="7CE0713F"/>
    <w:rsid w:val="7EF649F8"/>
    <w:rsid w:val="7FFF168A"/>
    <w:rsid w:val="FEF1A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name="header"/>
    <w:lsdException w:qFormat="1" w:unhideWhenUsed="0" w:uiPriority="0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spacing w:before="31"/>
      <w:ind w:left="113" w:firstLine="631"/>
    </w:pPr>
    <w:rPr>
      <w:rFonts w:ascii="仿宋_GB2312" w:eastAsia="仿宋_GB2312" w:cs="仿宋_GB2312"/>
      <w:sz w:val="32"/>
      <w:szCs w:val="32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5">
    <w:name w:val="header"/>
    <w:basedOn w:val="1"/>
    <w:link w:val="8"/>
    <w:semiHidden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0"/>
    <w:rPr>
      <w:rFonts w:ascii="Calibri" w:hAnsi="Calibri" w:eastAsia="宋体"/>
      <w:sz w:val="18"/>
      <w:szCs w:val="18"/>
      <w:lang w:val="en-US" w:eastAsia="zh-CN" w:bidi="ar-SA"/>
    </w:rPr>
  </w:style>
  <w:style w:type="character" w:customStyle="1" w:styleId="9">
    <w:name w:val="页脚 Char"/>
    <w:basedOn w:val="7"/>
    <w:link w:val="4"/>
    <w:qFormat/>
    <w:uiPriority w:val="0"/>
    <w:rPr>
      <w:rFonts w:eastAsia="宋体"/>
      <w:sz w:val="18"/>
      <w:szCs w:val="18"/>
      <w:lang w:val="en-US" w:eastAsia="zh-CN" w:bidi="ar-SA"/>
    </w:rPr>
  </w:style>
  <w:style w:type="character" w:customStyle="1" w:styleId="10">
    <w:name w:val="正文文本 Char"/>
    <w:basedOn w:val="7"/>
    <w:link w:val="2"/>
    <w:qFormat/>
    <w:uiPriority w:val="0"/>
    <w:rPr>
      <w:rFonts w:ascii="仿宋_GB2312" w:eastAsia="仿宋_GB2312" w:cs="仿宋_GB2312"/>
      <w:sz w:val="32"/>
      <w:szCs w:val="32"/>
      <w:lang w:val="en-US" w:eastAsia="zh-CN" w:bidi="ar-SA"/>
    </w:rPr>
  </w:style>
  <w:style w:type="paragraph" w:customStyle="1" w:styleId="11">
    <w:name w:val="Heading 11"/>
    <w:basedOn w:val="1"/>
    <w:qFormat/>
    <w:uiPriority w:val="0"/>
    <w:pPr>
      <w:ind w:hanging="3"/>
      <w:outlineLvl w:val="0"/>
    </w:pPr>
    <w:rPr>
      <w:rFonts w:ascii="方正小标宋简体" w:eastAsia="方正小标宋简体" w:cs="方正小标宋简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LSRCB</Company>
  <Pages>8</Pages>
  <Words>3416</Words>
  <Characters>3422</Characters>
  <Lines>28</Lines>
  <Paragraphs>8</Paragraphs>
  <TotalTime>14</TotalTime>
  <ScaleCrop>false</ScaleCrop>
  <LinksUpToDate>false</LinksUpToDate>
  <CharactersWithSpaces>3490</CharactersWithSpaces>
  <Application>WPS Office_11.8.2.1128_F1E327BC-269C-435d-A152-05C5408002CA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2020-03-11T11:52:00Z</dcterms:created>
  <dc:creator>USER</dc:creator>
  <cp:lastModifiedBy>huawei</cp:lastModifiedBy>
  <dcterms:modified xsi:type="dcterms:W3CDTF">2024-07-04T14:40:45Z</dcterms:modified>
  <dc:title>兰山区基层安全生产监督管理办法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2052-11.8.2.1128</vt:lpwstr>
  </property>
  <property fmtid="{D5CDD505-2E9C-101B-9397-08002B2CF9AE}" pid="3" name="ICV">
    <vt:lpwstr>F822B4E90F0978AAED43866605FF7AA1</vt:lpwstr>
  </property>
</Properties>
</file>